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0917F6B9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48180148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F60B2F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760D937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598"/>
        <w:gridCol w:w="3959"/>
      </w:tblGrid>
      <w:tr w:rsidR="008D234A" w14:paraId="43CDD9D8" w14:textId="77777777" w:rsidTr="00042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597A1428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B64221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B7BB05C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296628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640D0DF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99A14C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B2B0969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4D14E818" w14:textId="77777777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A30F43">
        <w:rPr>
          <w:rFonts w:ascii="Arial" w:hAnsi="Arial" w:cs="Arial"/>
          <w:sz w:val="22"/>
          <w:szCs w:val="22"/>
        </w:rPr>
        <w:t xml:space="preserve">/s persona/s integrante/s de la 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>Co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560FF5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235939" w:rsidRPr="00624439">
        <w:rPr>
          <w:rFonts w:ascii="Arial" w:hAnsi="Arial" w:cs="Arial"/>
          <w:sz w:val="22"/>
          <w:szCs w:val="22"/>
        </w:rPr>
        <w:t>,</w:t>
      </w:r>
      <w:r w:rsidR="00040FDA">
        <w:rPr>
          <w:rFonts w:ascii="Arial" w:hAnsi="Arial" w:cs="Arial"/>
          <w:sz w:val="22"/>
          <w:szCs w:val="22"/>
        </w:rPr>
        <w:t xml:space="preserve"> párrafo cuarto</w:t>
      </w:r>
      <w:r w:rsidR="00235939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30, 32</w:t>
      </w:r>
      <w:r w:rsidR="007A1620" w:rsidRPr="00711866">
        <w:rPr>
          <w:rFonts w:ascii="Arial" w:hAnsi="Arial" w:cs="Arial"/>
          <w:sz w:val="22"/>
          <w:szCs w:val="22"/>
        </w:rPr>
        <w:t>,</w:t>
      </w:r>
      <w:r w:rsidR="007A1620">
        <w:rPr>
          <w:rFonts w:ascii="Arial" w:hAnsi="Arial" w:cs="Arial"/>
          <w:color w:val="0070C0"/>
          <w:sz w:val="22"/>
          <w:szCs w:val="22"/>
        </w:rPr>
        <w:t xml:space="preserve"> </w:t>
      </w:r>
      <w:r w:rsidR="007A1620">
        <w:rPr>
          <w:rFonts w:ascii="Arial" w:hAnsi="Arial" w:cs="Arial"/>
          <w:sz w:val="22"/>
          <w:szCs w:val="22"/>
        </w:rPr>
        <w:t xml:space="preserve">50, 51, 52, 53, 54 y 55 del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3618D09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4B2AEFED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106EB99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1893602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7E9B414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AE5CCC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9432D91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441E972A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3137DEAE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668C3B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753008BB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499F707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01A6C068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CBDB8E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3A08564A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DB2B212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B66546D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FC1A50D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E5BA3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24B4CE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53915DB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CE325A7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6FE7ECFD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61287087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771C46E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289A48D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57A80FA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7B2C2CD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2F7BA0CB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391AE3C5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34D46164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A90468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A0DC2C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512B7B7F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0C2D861D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497ECB3F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251653A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47F905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F316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444C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DF0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7A44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4610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B8F7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BDF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7A53A68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61154DC8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EADE8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562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EAD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F75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EDFD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DA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01DF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96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955DFE1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5A5DA4D6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7A75A2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98D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A43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5EBF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B421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41A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CAFB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F04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5897A8F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72AC289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2FB178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3EB80330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23E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0C9F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FB3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4374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5DC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94AD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949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E75FAA1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4BF53A57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1CCBE1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1EC644F7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837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F807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DF1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3D55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BB8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CEC3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C27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9CBFB67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52C75008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786DD8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FA0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33E4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98B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1A4A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6E1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139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848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35636D2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1C764030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81F00D" w14:textId="77777777" w:rsidR="006F046B" w:rsidRPr="008D036E" w:rsidRDefault="00AF78B6" w:rsidP="00BA0BAD">
            <w:pPr>
              <w:jc w:val="right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5CE313CA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09E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640B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C94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3CA7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8B50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23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BB7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F892C41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4C73AA01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20C6780B" w14:textId="77777777" w:rsidTr="00B90C08">
        <w:trPr>
          <w:trHeight w:val="270"/>
        </w:trPr>
        <w:tc>
          <w:tcPr>
            <w:tcW w:w="10756" w:type="dxa"/>
          </w:tcPr>
          <w:p w14:paraId="0C4DD3E4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5EA09678" w14:textId="77777777" w:rsidTr="00B90C08">
        <w:trPr>
          <w:trHeight w:val="227"/>
        </w:trPr>
        <w:tc>
          <w:tcPr>
            <w:tcW w:w="10756" w:type="dxa"/>
          </w:tcPr>
          <w:p w14:paraId="78F809E5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4D949D11" w14:textId="77777777" w:rsidTr="00B90C08">
        <w:trPr>
          <w:trHeight w:val="227"/>
        </w:trPr>
        <w:tc>
          <w:tcPr>
            <w:tcW w:w="10756" w:type="dxa"/>
          </w:tcPr>
          <w:p w14:paraId="51B9523C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595A63C6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624439" w14:paraId="2B2F0622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7BB29185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C859F6B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7D418856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6183B7C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7AAEE1C7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2218986A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49BDD92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0A8FF353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4F765CFE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ADA4BB3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396DA2E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D3D13D6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60B16E6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327A5983" w14:textId="77777777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1AC8B5E8" w14:textId="77777777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4A14FBF2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0F74B6B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3478E9E1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21255F9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4DFAE52C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DB12DF7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3D0C50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0E19A7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25281DC8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D36AA18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05AD0046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F0B4AF0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F46A564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443BCC1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F02DD5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5A574583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111B2B42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215715F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11297D1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3824789F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4F2E4A0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398892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391697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01A50BD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A343677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491F1B5D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C9856E0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B499EBA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25B06C3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69A549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3B476A06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4F6CDF0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026366C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DBB2925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47FAFAB2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02C019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906A61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4DE947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2AD7EEBC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2705776" w14:textId="77777777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2C79DD4B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8EE63DD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0E19C8" w:rsidRPr="00101EA3" w14:paraId="4A857B05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A2B4F13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DCD56F7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278BD3DF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498E2E00" w14:textId="77777777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87A1F8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5D9D7B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66F5138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A4BD5AC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0A510227" w14:textId="77777777" w:rsidR="00980F5B" w:rsidRPr="00101EA3" w:rsidRDefault="002A4CDC" w:rsidP="00A16EF7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</w:t>
      </w:r>
      <w:r w:rsidR="00624439">
        <w:rPr>
          <w:sz w:val="22"/>
        </w:rPr>
        <w:t>enlistados en la Orden del Día</w:t>
      </w:r>
      <w:r>
        <w:rPr>
          <w:sz w:val="22"/>
        </w:rPr>
        <w:t xml:space="preserve">, la presente ACTA que consta de ____ fojas útiles, se da por concluida en la fecha de su </w:t>
      </w:r>
      <w:r w:rsidR="009A12E6">
        <w:rPr>
          <w:sz w:val="22"/>
        </w:rPr>
        <w:t>elaboración</w:t>
      </w:r>
      <w:r>
        <w:rPr>
          <w:sz w:val="22"/>
        </w:rPr>
        <w:t xml:space="preserve"> </w:t>
      </w:r>
      <w:r w:rsidR="00042AB1">
        <w:rPr>
          <w:sz w:val="22"/>
        </w:rPr>
        <w:t xml:space="preserve">firmando las personas integrantes </w:t>
      </w:r>
      <w:r w:rsidR="00C57B09">
        <w:rPr>
          <w:sz w:val="22"/>
          <w:szCs w:val="22"/>
        </w:rPr>
        <w:t xml:space="preserve">de la Junta de Representación de la Coordinadora de Participación Comunitaria </w:t>
      </w:r>
      <w:r w:rsidR="00042AB1">
        <w:rPr>
          <w:sz w:val="22"/>
          <w:szCs w:val="22"/>
        </w:rPr>
        <w:t>en ___________________</w:t>
      </w:r>
      <w:r w:rsidR="00D910C3">
        <w:rPr>
          <w:sz w:val="22"/>
          <w:szCs w:val="22"/>
        </w:rPr>
        <w:t xml:space="preserve">que </w:t>
      </w:r>
      <w:r w:rsidR="00042AB1">
        <w:rPr>
          <w:sz w:val="22"/>
          <w:szCs w:val="22"/>
        </w:rPr>
        <w:t>estuvieron presentes.</w:t>
      </w:r>
    </w:p>
    <w:p w14:paraId="60CC3D66" w14:textId="77777777" w:rsidR="006139B4" w:rsidRDefault="006139B4" w:rsidP="00A16EF7">
      <w:pPr>
        <w:pStyle w:val="Default"/>
        <w:jc w:val="both"/>
        <w:rPr>
          <w:sz w:val="22"/>
          <w:szCs w:val="22"/>
        </w:rPr>
      </w:pPr>
    </w:p>
    <w:p w14:paraId="165C6AD8" w14:textId="77777777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30"/>
        <w:gridCol w:w="10552"/>
      </w:tblGrid>
      <w:tr w:rsidR="00A30F43" w:rsidRPr="00101EA3" w14:paraId="7D2202F6" w14:textId="77777777" w:rsidTr="00A30F43">
        <w:trPr>
          <w:tblHeader/>
          <w:jc w:val="center"/>
        </w:trPr>
        <w:tc>
          <w:tcPr>
            <w:tcW w:w="196" w:type="pct"/>
            <w:vAlign w:val="center"/>
          </w:tcPr>
          <w:p w14:paraId="727B8C73" w14:textId="77777777" w:rsidR="00A30F43" w:rsidRPr="00101EA3" w:rsidRDefault="00A30F43" w:rsidP="00A30F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4" w:type="pct"/>
            <w:vAlign w:val="center"/>
          </w:tcPr>
          <w:p w14:paraId="08C80986" w14:textId="77777777" w:rsidR="00A30F43" w:rsidRPr="00101EA3" w:rsidRDefault="00A30F43" w:rsidP="00A30F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</w:p>
        </w:tc>
      </w:tr>
      <w:tr w:rsidR="00A30F43" w:rsidRPr="00101EA3" w14:paraId="5991E18C" w14:textId="77777777" w:rsidTr="00A30F43">
        <w:trPr>
          <w:jc w:val="center"/>
        </w:trPr>
        <w:tc>
          <w:tcPr>
            <w:tcW w:w="196" w:type="pct"/>
          </w:tcPr>
          <w:p w14:paraId="1CD89ACB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04" w:type="pct"/>
          </w:tcPr>
          <w:p w14:paraId="3CB7284D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6EDA6AE2" w14:textId="77777777" w:rsidTr="00A30F43">
        <w:trPr>
          <w:jc w:val="center"/>
        </w:trPr>
        <w:tc>
          <w:tcPr>
            <w:tcW w:w="196" w:type="pct"/>
          </w:tcPr>
          <w:p w14:paraId="4C868DF4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04" w:type="pct"/>
          </w:tcPr>
          <w:p w14:paraId="6100982A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5FA6FA23" w14:textId="77777777" w:rsidTr="00A30F43">
        <w:trPr>
          <w:jc w:val="center"/>
        </w:trPr>
        <w:tc>
          <w:tcPr>
            <w:tcW w:w="196" w:type="pct"/>
          </w:tcPr>
          <w:p w14:paraId="4C4341F5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04" w:type="pct"/>
          </w:tcPr>
          <w:p w14:paraId="4B463689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D6FEC9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9F93858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38F33AD9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9E4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7BED46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BDA1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11D0BA42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0F86379E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2B10605F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571E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5F1F335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A789" w14:textId="77777777" w:rsidR="009A5DDA" w:rsidRDefault="00BA0BAD">
    <w:pPr>
      <w:pStyle w:val="Encabezado"/>
    </w:pPr>
    <w:r>
      <w:rPr>
        <w:noProof/>
      </w:rPr>
      <w:pict w14:anchorId="093131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1"/>
      <w:gridCol w:w="5491"/>
    </w:tblGrid>
    <w:tr w:rsidR="00A56566" w14:paraId="6E09B88F" w14:textId="77777777" w:rsidTr="00A56566">
      <w:trPr>
        <w:jc w:val="center"/>
      </w:trPr>
      <w:tc>
        <w:tcPr>
          <w:tcW w:w="5378" w:type="dxa"/>
        </w:tcPr>
        <w:p w14:paraId="6EAC3649" w14:textId="77777777" w:rsidR="00A56566" w:rsidRDefault="00A56566" w:rsidP="00A5656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3F51EA42" wp14:editId="4494C80F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5FAB8F05" w14:textId="77777777" w:rsidR="00A56566" w:rsidRPr="00BA0BAD" w:rsidRDefault="00BA0BAD" w:rsidP="00A5656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1ACBB860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  <v:textbox style="layout-flow:vertical;mso-layout-flow-alt:bottom-to-top;mso-fit-shape-to-text:t">
                  <w:txbxContent>
                    <w:p w14:paraId="32FDB8FD" w14:textId="77777777" w:rsidR="00A56566" w:rsidRPr="00DD30DB" w:rsidRDefault="00A56566" w:rsidP="00A56566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2254B5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2254B5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3F09AA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2254B5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3F09AA" w:rsidRPr="003F09AA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3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A56566"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FAAC-COORDINADORA-PP-CE-DIG</w:t>
          </w:r>
        </w:p>
        <w:p w14:paraId="539AA070" w14:textId="43B8C11A" w:rsidR="00A56566" w:rsidRPr="00BA0BAD" w:rsidRDefault="00A56566" w:rsidP="003F09AA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17164B"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="003F09AA"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  <w:r w:rsidRPr="00BA0BA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 </w:t>
          </w:r>
        </w:p>
      </w:tc>
    </w:tr>
  </w:tbl>
  <w:p w14:paraId="05FA37EB" w14:textId="77777777" w:rsidR="009A5DDA" w:rsidRPr="00B72A46" w:rsidRDefault="009A5DDA" w:rsidP="00A5656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6B3FF07C" w14:textId="77777777" w:rsidR="00476A0E" w:rsidRPr="00042AB1" w:rsidRDefault="009A5DDA" w:rsidP="00A5656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2"/>
        <w:szCs w:val="32"/>
      </w:rPr>
    </w:pPr>
    <w:r w:rsidRPr="00042AB1">
      <w:rPr>
        <w:rFonts w:ascii="Arial" w:hAnsi="Arial" w:cs="Arial"/>
        <w:b/>
        <w:bCs/>
        <w:sz w:val="32"/>
        <w:szCs w:val="32"/>
      </w:rPr>
      <w:t xml:space="preserve">DE </w:t>
    </w:r>
    <w:r w:rsidR="00476A0E" w:rsidRPr="00042AB1">
      <w:rPr>
        <w:rFonts w:ascii="Arial" w:hAnsi="Arial" w:cs="Arial"/>
        <w:b/>
        <w:bCs/>
        <w:sz w:val="32"/>
        <w:szCs w:val="32"/>
      </w:rPr>
      <w:t xml:space="preserve">ASAMBLEA CIUDADANA DE </w:t>
    </w:r>
    <w:r w:rsidR="00A56566">
      <w:rPr>
        <w:rFonts w:ascii="Arial" w:hAnsi="Arial" w:cs="Arial"/>
        <w:b/>
        <w:bCs/>
        <w:sz w:val="32"/>
        <w:szCs w:val="32"/>
      </w:rPr>
      <w:t>CASOS ESPECIALES</w:t>
    </w:r>
  </w:p>
  <w:p w14:paraId="0EF9B525" w14:textId="77777777" w:rsidR="00042AB1" w:rsidRPr="00042AB1" w:rsidRDefault="00042AB1" w:rsidP="00A5656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042AB1">
      <w:rPr>
        <w:rFonts w:ascii="Arial" w:hAnsi="Arial" w:cs="Arial"/>
        <w:b/>
        <w:bCs/>
      </w:rPr>
      <w:t>Consulta Ciudadana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1E12F" w14:textId="77777777" w:rsidR="009A5DDA" w:rsidRDefault="00BA0BAD">
    <w:pPr>
      <w:pStyle w:val="Encabezado"/>
    </w:pPr>
    <w:r>
      <w:rPr>
        <w:noProof/>
      </w:rPr>
      <w:pict w14:anchorId="146CF4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390068">
    <w:abstractNumId w:val="0"/>
  </w:num>
  <w:num w:numId="2" w16cid:durableId="68431640">
    <w:abstractNumId w:val="2"/>
  </w:num>
  <w:num w:numId="3" w16cid:durableId="453332828">
    <w:abstractNumId w:val="1"/>
  </w:num>
  <w:num w:numId="4" w16cid:durableId="463231698">
    <w:abstractNumId w:val="5"/>
  </w:num>
  <w:num w:numId="5" w16cid:durableId="2127655996">
    <w:abstractNumId w:val="3"/>
  </w:num>
  <w:num w:numId="6" w16cid:durableId="5076446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40FDA"/>
    <w:rsid w:val="00042AB1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C5BF8"/>
    <w:rsid w:val="000D01C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164B"/>
    <w:rsid w:val="001738A3"/>
    <w:rsid w:val="00177B55"/>
    <w:rsid w:val="001900A9"/>
    <w:rsid w:val="0019377F"/>
    <w:rsid w:val="001B0F2D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4B5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09AA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0FF5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B6167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56566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71061"/>
    <w:rsid w:val="00B72A46"/>
    <w:rsid w:val="00B7754D"/>
    <w:rsid w:val="00B803CB"/>
    <w:rsid w:val="00B90D25"/>
    <w:rsid w:val="00BA0BAD"/>
    <w:rsid w:val="00BA798C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2005"/>
    <w:rsid w:val="00D76131"/>
    <w:rsid w:val="00D90010"/>
    <w:rsid w:val="00D910C3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F036E4"/>
    <w:rsid w:val="00F14E45"/>
    <w:rsid w:val="00F2738A"/>
    <w:rsid w:val="00F31029"/>
    <w:rsid w:val="00F32064"/>
    <w:rsid w:val="00F33A4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391B619"/>
  <w15:docId w15:val="{106F82E6-D449-4C61-8C21-93E09A24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E77C6-1DE1-4FF2-90A1-545ECA33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5</cp:revision>
  <cp:lastPrinted>2017-01-18T23:31:00Z</cp:lastPrinted>
  <dcterms:created xsi:type="dcterms:W3CDTF">2022-05-03T19:19:00Z</dcterms:created>
  <dcterms:modified xsi:type="dcterms:W3CDTF">2022-05-06T18:28:00Z</dcterms:modified>
</cp:coreProperties>
</file>